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mbria" w:cs="Cambria" w:eastAsia="Cambria" w:hAnsi="Cambria"/>
          <w:b/>
          <w:bCs/>
          <w:sz w:val="30"/>
          <w:szCs w:val="30"/>
        </w:rPr>
        <w:t xml:space="preserve">Aviso de privacidad integral de la plataforma LegalVI</w:t>
      </w:r>
    </w:p>
    <w:p>
      <w:pPr>
        <w:spacing w:after="280"/>
      </w:pPr>
      <w:r>
        <w:rPr>
          <w:rFonts w:ascii="Cambria" w:cs="Cambria" w:eastAsia="Cambria" w:hAnsi="Cambria"/>
          <w:i/>
          <w:iCs/>
          <w:color w:val="5A5A5A"/>
          <w:sz w:val="22"/>
          <w:szCs w:val="22"/>
        </w:rPr>
        <w:t xml:space="preserve">Última actualización: 1 de noviembre de 2026</w:t>
      </w:r>
    </w:p>
    <w:p>
      <w:pPr>
        <w:keepNext/>
        <w:spacing w:after="160" w:before="240"/>
        <w:jc w:val="left"/>
      </w:pPr>
      <w:r>
        <w:rPr>
          <w:rFonts w:ascii="Cambria" w:cs="Cambria" w:eastAsia="Cambria" w:hAnsi="Cambria"/>
          <w:b/>
          <w:bCs/>
          <w:sz w:val="24"/>
          <w:szCs w:val="24"/>
        </w:rPr>
        <w:t xml:space="preserve">1. Neyra Fernández Vega Asociados, S.C. es la responsable del tratamiento</w:t>
      </w:r>
    </w:p>
    <w:p>
      <w:pPr>
        <w:spacing w:after="160" w:line="300"/>
        <w:jc w:val="both"/>
      </w:pPr>
      <w:r>
        <w:rPr>
          <w:rFonts w:ascii="Cambria" w:cs="Cambria" w:eastAsia="Cambria" w:hAnsi="Cambria"/>
          <w:sz w:val="24"/>
          <w:szCs w:val="24"/>
        </w:rPr>
        <w:t xml:space="preserve">Neyra Fernández Vega Asociados, S.C., con Registro Federal de Contribuyentes NFV150511TK3 y domicilio en calle América número 69, colonia Parque San Andrés, Demarcación Territorial Coyoacán, código postal 04040, Ciudad de México (la «Responsable»), es responsable del tratamiento de los datos personales que se recaban por medio de la plataforma LegalVI (la «Plataforma»), en términos de la Ley Federal de Protección de Datos Personales en Posesión de los Particulares, publicada en el Diario Oficial de la Federación el 20 de marzo de 2025 (la «Ley»).</w:t>
      </w:r>
    </w:p>
    <w:p>
      <w:pPr>
        <w:spacing w:after="160" w:line="300"/>
        <w:jc w:val="both"/>
      </w:pPr>
      <w:r>
        <w:rPr>
          <w:rFonts w:ascii="Cambria" w:cs="Cambria" w:eastAsia="Cambria" w:hAnsi="Cambria"/>
          <w:sz w:val="24"/>
          <w:szCs w:val="24"/>
        </w:rPr>
        <w:t xml:space="preserve">El departamento de datos personales de la Responsable atiende cualquier consulta sobre este aviso en el correo electrónico mmorales@moralesvega.com.</w:t>
      </w:r>
    </w:p>
    <w:p>
      <w:pPr>
        <w:keepNext/>
        <w:spacing w:after="160" w:before="240"/>
        <w:jc w:val="left"/>
      </w:pPr>
      <w:r>
        <w:rPr>
          <w:rFonts w:ascii="Cambria" w:cs="Cambria" w:eastAsia="Cambria" w:hAnsi="Cambria"/>
          <w:b/>
          <w:bCs/>
          <w:sz w:val="24"/>
          <w:szCs w:val="24"/>
        </w:rPr>
        <w:t xml:space="preserve">2. Se tratan los datos de los abogados usuarios y de quienes contratan licencias</w:t>
      </w:r>
    </w:p>
    <w:p>
      <w:pPr>
        <w:spacing w:after="160" w:line="300"/>
        <w:jc w:val="both"/>
      </w:pPr>
      <w:r>
        <w:rPr>
          <w:rFonts w:ascii="Cambria" w:cs="Cambria" w:eastAsia="Cambria" w:hAnsi="Cambria"/>
          <w:sz w:val="24"/>
          <w:szCs w:val="24"/>
        </w:rPr>
        <w:t xml:space="preserve">De las personas usuarias y de los representantes de los licenciatarios se tratan los datos siguientes:</w:t>
      </w:r>
    </w:p>
    <w:p>
      <w:pPr>
        <w:pStyle w:val="ListParagraph"/>
        <w:numPr>
          <w:ilvl w:val="0"/>
          <w:numId w:val="2"/>
        </w:numPr>
        <w:spacing w:after="100" w:line="300"/>
        <w:jc w:val="both"/>
      </w:pPr>
      <w:r>
        <w:rPr>
          <w:rFonts w:ascii="Cambria" w:cs="Cambria" w:eastAsia="Cambria" w:hAnsi="Cambria"/>
          <w:sz w:val="24"/>
          <w:szCs w:val="24"/>
        </w:rPr>
        <w:t xml:space="preserve">Identificación y contacto: nombre completo, correo electrónico y teléfono.</w:t>
      </w:r>
    </w:p>
    <w:p>
      <w:pPr>
        <w:pStyle w:val="ListParagraph"/>
        <w:numPr>
          <w:ilvl w:val="0"/>
          <w:numId w:val="2"/>
        </w:numPr>
        <w:spacing w:after="100" w:line="300"/>
        <w:jc w:val="both"/>
      </w:pPr>
      <w:r>
        <w:rPr>
          <w:rFonts w:ascii="Cambria" w:cs="Cambria" w:eastAsia="Cambria" w:hAnsi="Cambria"/>
          <w:sz w:val="24"/>
          <w:szCs w:val="24"/>
        </w:rPr>
        <w:t xml:space="preserve">Académicos y profesionales: número de cédula profesional, título profesional y el resultado de su verificación en el Registro Nacional de Profesionistas, que es una fuente de acceso público.</w:t>
      </w:r>
    </w:p>
    <w:p>
      <w:pPr>
        <w:pStyle w:val="ListParagraph"/>
        <w:numPr>
          <w:ilvl w:val="0"/>
          <w:numId w:val="2"/>
        </w:numPr>
        <w:spacing w:after="100" w:line="300"/>
        <w:jc w:val="both"/>
      </w:pPr>
      <w:r>
        <w:rPr>
          <w:rFonts w:ascii="Cambria" w:cs="Cambria" w:eastAsia="Cambria" w:hAnsi="Cambria"/>
          <w:sz w:val="24"/>
          <w:szCs w:val="24"/>
        </w:rPr>
        <w:t xml:space="preserve">De verificación de identidad: copia de la cédula profesional y de una identificación oficial vigente, que se conservan cifradas y se suprimen al concluir la verificación.</w:t>
      </w:r>
    </w:p>
    <w:p>
      <w:pPr>
        <w:pStyle w:val="ListParagraph"/>
        <w:numPr>
          <w:ilvl w:val="0"/>
          <w:numId w:val="2"/>
        </w:numPr>
        <w:spacing w:after="100" w:line="300"/>
        <w:jc w:val="both"/>
      </w:pPr>
      <w:r>
        <w:rPr>
          <w:rFonts w:ascii="Cambria" w:cs="Cambria" w:eastAsia="Cambria" w:hAnsi="Cambria"/>
          <w:sz w:val="24"/>
          <w:szCs w:val="24"/>
        </w:rPr>
        <w:t xml:space="preserve">De acceso: correo electrónico como usuario y contraseña, que se guarda transformada con una función de derivación de claves, de modo que nadie, ni la Responsable, puede conocerla.</w:t>
      </w:r>
    </w:p>
    <w:p>
      <w:pPr>
        <w:pStyle w:val="ListParagraph"/>
        <w:numPr>
          <w:ilvl w:val="0"/>
          <w:numId w:val="2"/>
        </w:numPr>
        <w:spacing w:after="100" w:line="300"/>
        <w:jc w:val="both"/>
      </w:pPr>
      <w:r>
        <w:rPr>
          <w:rFonts w:ascii="Cambria" w:cs="Cambria" w:eastAsia="Cambria" w:hAnsi="Cambria"/>
          <w:sz w:val="24"/>
          <w:szCs w:val="24"/>
        </w:rPr>
        <w:t xml:space="preserve">De la licencia: licenciatario al que pertenece la persona usuaria, folio y estado de su acceso.</w:t>
      </w:r>
    </w:p>
    <w:p>
      <w:pPr>
        <w:pStyle w:val="ListParagraph"/>
        <w:numPr>
          <w:ilvl w:val="0"/>
          <w:numId w:val="2"/>
        </w:numPr>
        <w:spacing w:after="100" w:line="300"/>
        <w:jc w:val="both"/>
      </w:pPr>
      <w:r>
        <w:rPr>
          <w:rFonts w:ascii="Cambria" w:cs="Cambria" w:eastAsia="Cambria" w:hAnsi="Cambria"/>
          <w:sz w:val="24"/>
          <w:szCs w:val="24"/>
        </w:rPr>
        <w:t xml:space="preserve">De uso y seguridad: fecha y hora de cada consulta, instrucciones aplicadas, modo de procesamiento, consumo, consultas bloqueadas, constancias de aceptación de este aviso y de los términos de uso, una huella cifrada de la dirección IP y el tipo de navegador.</w:t>
      </w:r>
    </w:p>
    <w:p>
      <w:pPr>
        <w:pStyle w:val="ListParagraph"/>
        <w:numPr>
          <w:ilvl w:val="0"/>
          <w:numId w:val="2"/>
        </w:numPr>
        <w:spacing w:after="100" w:line="300"/>
        <w:jc w:val="both"/>
      </w:pPr>
      <w:r>
        <w:rPr>
          <w:rFonts w:ascii="Cambria" w:cs="Cambria" w:eastAsia="Cambria" w:hAnsi="Cambria"/>
          <w:sz w:val="24"/>
          <w:szCs w:val="24"/>
        </w:rPr>
        <w:t xml:space="preserve">De facturación: nombre o denominación, Registro Federal de Contribuyentes, domicilio fiscal y régimen fiscal. Los pagos con tarjeta los procesa directamente la pasarela de pago; la Responsable no recibe ni conserva números de tarjeta.</w:t>
      </w:r>
    </w:p>
    <w:p>
      <w:pPr>
        <w:spacing w:after="160" w:line="300"/>
        <w:jc w:val="both"/>
      </w:pPr>
      <w:r>
        <w:rPr>
          <w:rFonts w:ascii="Cambria" w:cs="Cambria" w:eastAsia="Cambria" w:hAnsi="Cambria"/>
          <w:sz w:val="24"/>
          <w:szCs w:val="24"/>
        </w:rPr>
        <w:t xml:space="preserve">De las personas usuarias no se recaban datos personales sensibles.</w:t>
      </w:r>
    </w:p>
    <w:p>
      <w:pPr>
        <w:keepNext/>
        <w:spacing w:after="160" w:before="240"/>
        <w:jc w:val="left"/>
      </w:pPr>
      <w:r>
        <w:rPr>
          <w:rFonts w:ascii="Cambria" w:cs="Cambria" w:eastAsia="Cambria" w:hAnsi="Cambria"/>
          <w:b/>
          <w:bCs/>
          <w:sz w:val="24"/>
          <w:szCs w:val="24"/>
        </w:rPr>
        <w:t xml:space="preserve">3. Los documentos que se cargan pueden contener datos sensibles de clientes y se conservan cifrados</w:t>
      </w:r>
    </w:p>
    <w:p>
      <w:pPr>
        <w:spacing w:after="160" w:line="300"/>
        <w:jc w:val="both"/>
      </w:pPr>
      <w:r>
        <w:rPr>
          <w:rFonts w:ascii="Cambria" w:cs="Cambria" w:eastAsia="Cambria" w:hAnsi="Cambria"/>
          <w:sz w:val="24"/>
          <w:szCs w:val="24"/>
        </w:rPr>
        <w:t xml:space="preserve">Los escritos, contratos, instrumentos y demás documentos que las personas usuarias cargan en la Plataforma pueden contener datos personales de sus clientes y de terceros, incluidos datos personales sensibles, como el estado de salud, la situación familiar o información patrimonial, y datos financieros.</w:t>
      </w:r>
    </w:p>
    <w:p>
      <w:pPr>
        <w:spacing w:after="160" w:line="300"/>
        <w:jc w:val="both"/>
      </w:pPr>
      <w:r>
        <w:rPr>
          <w:rFonts w:ascii="Cambria" w:cs="Cambria" w:eastAsia="Cambria" w:hAnsi="Cambria"/>
          <w:sz w:val="24"/>
          <w:szCs w:val="24"/>
        </w:rPr>
        <w:t xml:space="preserve">Respecto de esos datos, el responsable es el licenciatario que los carga, y la Responsable los trata por su cuenta. La Responsable conserva cifrados esos documentos y los resultados de cada consulta: los de una consulta suelta, hasta por noventa días naturales; los de un asunto, es decir, el hilo de trabajo que la persona usuaria abre para un caso o un proyecto, mientras permanezca abierto y hasta noventa días naturales después de su cierre, con cierre automático tras un año sin actividad. Los suprime al vencer el plazo que corresponda o de inmediato cuando la persona usuaria elimina el asunto o el documento, salvo los escritos seleccionados conforme al apartado 4, cuyos originales se suprimen al concluir su disociación.</w:t>
      </w:r>
    </w:p>
    <w:p>
      <w:pPr>
        <w:spacing w:after="160" w:line="300"/>
        <w:jc w:val="both"/>
      </w:pPr>
      <w:r>
        <w:rPr>
          <w:rFonts w:ascii="Cambria" w:cs="Cambria" w:eastAsia="Cambria" w:hAnsi="Cambria"/>
          <w:sz w:val="24"/>
          <w:szCs w:val="24"/>
        </w:rPr>
        <w:t xml:space="preserve">El licenciatario garantiza, en su contrato de licencia, que cuenta con el consentimiento de sus clientes que la Ley exige, incluido el consentimiento expreso y por escrito para el tratamiento de datos personales sensibles (artículo 8 de la Ley), y con un aviso de privacidad que prevé la remisión de esos datos a proveedores tecnológicos.</w:t>
      </w:r>
    </w:p>
    <w:p>
      <w:pPr>
        <w:keepNext/>
        <w:spacing w:after="160" w:before="240"/>
        <w:jc w:val="left"/>
      </w:pPr>
      <w:r>
        <w:rPr>
          <w:rFonts w:ascii="Cambria" w:cs="Cambria" w:eastAsia="Cambria" w:hAnsi="Cambria"/>
          <w:b/>
          <w:bCs/>
          <w:sz w:val="24"/>
          <w:szCs w:val="24"/>
        </w:rPr>
        <w:t xml:space="preserve">4. Las finalidades son prestar el servicio, proteger la Plataforma y mejorar las instrucciones de trabajo con escritos disociados</w:t>
      </w:r>
    </w:p>
    <w:p>
      <w:pPr>
        <w:spacing w:after="160" w:line="300"/>
        <w:jc w:val="both"/>
      </w:pPr>
      <w:r>
        <w:rPr>
          <w:rFonts w:ascii="Cambria" w:cs="Cambria" w:eastAsia="Cambria" w:hAnsi="Cambria"/>
          <w:sz w:val="24"/>
          <w:szCs w:val="24"/>
        </w:rPr>
        <w:t xml:space="preserve">Derivan de la relación jurídica con el licenciatario y con la persona usuaria, por lo que no requieren consentimiento (artículo 9, fracción IV de la Ley), las finalidades siguientes:</w:t>
      </w:r>
    </w:p>
    <w:p>
      <w:pPr>
        <w:pStyle w:val="ListParagraph"/>
        <w:numPr>
          <w:ilvl w:val="0"/>
          <w:numId w:val="2"/>
        </w:numPr>
        <w:spacing w:after="100" w:line="300"/>
        <w:jc w:val="both"/>
      </w:pPr>
      <w:r>
        <w:rPr>
          <w:rFonts w:ascii="Cambria" w:cs="Cambria" w:eastAsia="Cambria" w:hAnsi="Cambria"/>
          <w:sz w:val="24"/>
          <w:szCs w:val="24"/>
        </w:rPr>
        <w:t xml:space="preserve">Verificar que la persona usuaria es licenciada en derecho o abogada con cédula vigente, y que es quien dice ser, antes de habilitar su acceso.</w:t>
      </w:r>
    </w:p>
    <w:p>
      <w:pPr>
        <w:pStyle w:val="ListParagraph"/>
        <w:numPr>
          <w:ilvl w:val="0"/>
          <w:numId w:val="2"/>
        </w:numPr>
        <w:spacing w:after="100" w:line="300"/>
        <w:jc w:val="both"/>
      </w:pPr>
      <w:r>
        <w:rPr>
          <w:rFonts w:ascii="Cambria" w:cs="Cambria" w:eastAsia="Cambria" w:hAnsi="Cambria"/>
          <w:sz w:val="24"/>
          <w:szCs w:val="24"/>
        </w:rPr>
        <w:t xml:space="preserve">Crear, administrar, suspender o dar de baja el acceso.</w:t>
      </w:r>
    </w:p>
    <w:p>
      <w:pPr>
        <w:pStyle w:val="ListParagraph"/>
        <w:numPr>
          <w:ilvl w:val="0"/>
          <w:numId w:val="2"/>
        </w:numPr>
        <w:spacing w:after="100" w:line="300"/>
        <w:jc w:val="both"/>
      </w:pPr>
      <w:r>
        <w:rPr>
          <w:rFonts w:ascii="Cambria" w:cs="Cambria" w:eastAsia="Cambria" w:hAnsi="Cambria"/>
          <w:sz w:val="24"/>
          <w:szCs w:val="24"/>
        </w:rPr>
        <w:t xml:space="preserve">Procesar las consultas y entregar los resultados.</w:t>
      </w:r>
    </w:p>
    <w:p>
      <w:pPr>
        <w:pStyle w:val="ListParagraph"/>
        <w:numPr>
          <w:ilvl w:val="0"/>
          <w:numId w:val="2"/>
        </w:numPr>
        <w:spacing w:after="100" w:line="300"/>
        <w:jc w:val="both"/>
      </w:pPr>
      <w:r>
        <w:rPr>
          <w:rFonts w:ascii="Cambria" w:cs="Cambria" w:eastAsia="Cambria" w:hAnsi="Cambria"/>
          <w:sz w:val="24"/>
          <w:szCs w:val="24"/>
        </w:rPr>
        <w:t xml:space="preserve">Atender aclaraciones y revisar la calidad de los resultados con los documentos conservados.</w:t>
      </w:r>
    </w:p>
    <w:p>
      <w:pPr>
        <w:pStyle w:val="ListParagraph"/>
        <w:numPr>
          <w:ilvl w:val="0"/>
          <w:numId w:val="2"/>
        </w:numPr>
        <w:spacing w:after="100" w:line="300"/>
        <w:jc w:val="both"/>
      </w:pPr>
      <w:r>
        <w:rPr>
          <w:rFonts w:ascii="Cambria" w:cs="Cambria" w:eastAsia="Cambria" w:hAnsi="Cambria"/>
          <w:sz w:val="24"/>
          <w:szCs w:val="24"/>
        </w:rPr>
        <w:t xml:space="preserve">Limitar el consumo, detectar intentos de extracción de las instrucciones protegidas y conservar evidencia del uso.</w:t>
      </w:r>
    </w:p>
    <w:p>
      <w:pPr>
        <w:pStyle w:val="ListParagraph"/>
        <w:numPr>
          <w:ilvl w:val="0"/>
          <w:numId w:val="2"/>
        </w:numPr>
        <w:spacing w:after="100" w:line="300"/>
        <w:jc w:val="both"/>
      </w:pPr>
      <w:r>
        <w:rPr>
          <w:rFonts w:ascii="Cambria" w:cs="Cambria" w:eastAsia="Cambria" w:hAnsi="Cambria"/>
          <w:sz w:val="24"/>
          <w:szCs w:val="24"/>
        </w:rPr>
        <w:t xml:space="preserve">Conservar constancia de aceptaciones y declaraciones, facturar, cobrar y cumplir obligaciones legales.</w:t>
      </w:r>
    </w:p>
    <w:p>
      <w:pPr>
        <w:spacing w:after="160" w:line="300"/>
        <w:jc w:val="both"/>
      </w:pPr>
      <w:r>
        <w:rPr>
          <w:rFonts w:ascii="Cambria" w:cs="Cambria" w:eastAsia="Cambria" w:hAnsi="Cambria"/>
          <w:sz w:val="24"/>
          <w:szCs w:val="24"/>
        </w:rPr>
        <w:t xml:space="preserve">No requieren consentimiento, por ejecutarse sobre información previamente disociada (artículo 9, fracción III de la Ley), las finalidades siguientes:</w:t>
      </w:r>
    </w:p>
    <w:p>
      <w:pPr>
        <w:pStyle w:val="ListParagraph"/>
        <w:numPr>
          <w:ilvl w:val="0"/>
          <w:numId w:val="2"/>
        </w:numPr>
        <w:spacing w:after="100" w:line="300"/>
        <w:jc w:val="both"/>
      </w:pPr>
      <w:r>
        <w:rPr>
          <w:rFonts w:ascii="Cambria" w:cs="Cambria" w:eastAsia="Cambria" w:hAnsi="Cambria"/>
          <w:sz w:val="24"/>
          <w:szCs w:val="24"/>
        </w:rPr>
        <w:t xml:space="preserve">Seleccionar los escritos que merezcan integrarse a un acervo de referencia y someterlos a disociación: se eliminan nombres, domicilios, números de expediente, datos registrales, cantidades identificables y cualquier otro dato que permita identificar a una persona.</w:t>
      </w:r>
    </w:p>
    <w:p>
      <w:pPr>
        <w:pStyle w:val="ListParagraph"/>
        <w:numPr>
          <w:ilvl w:val="0"/>
          <w:numId w:val="2"/>
        </w:numPr>
        <w:spacing w:after="100" w:line="300"/>
        <w:jc w:val="both"/>
      </w:pPr>
      <w:r>
        <w:rPr>
          <w:rFonts w:ascii="Cambria" w:cs="Cambria" w:eastAsia="Cambria" w:hAnsi="Cambria"/>
          <w:sz w:val="24"/>
          <w:szCs w:val="24"/>
        </w:rPr>
        <w:t xml:space="preserve">Usar el acervo disociado para corregir, ampliar y actualizar las instrucciones de trabajo y la Plataforma.</w:t>
      </w:r>
    </w:p>
    <w:p>
      <w:pPr>
        <w:spacing w:after="160" w:line="300"/>
        <w:jc w:val="both"/>
      </w:pPr>
      <w:r>
        <w:rPr>
          <w:rFonts w:ascii="Cambria" w:cs="Cambria" w:eastAsia="Cambria" w:hAnsi="Cambria"/>
          <w:sz w:val="24"/>
          <w:szCs w:val="24"/>
        </w:rPr>
        <w:t xml:space="preserve">El acervo nunca se publica ni se comparte en forma que permita identificar a su autor, al licenciatario o a las partes del asunto.</w:t>
      </w:r>
    </w:p>
    <w:p>
      <w:pPr>
        <w:spacing w:after="160" w:line="300"/>
        <w:jc w:val="both"/>
      </w:pPr>
      <w:r>
        <w:rPr>
          <w:rFonts w:ascii="Cambria" w:cs="Cambria" w:eastAsia="Cambria" w:hAnsi="Cambria"/>
          <w:sz w:val="24"/>
          <w:szCs w:val="24"/>
        </w:rPr>
        <w:t xml:space="preserve">Requiere el consentimiento de la persona usuaria, que puede negarse sin perder el acceso, la finalidad de enviarle avisos sobre nuevas herramientas, productos, cursos o eventos de la Responsable.</w:t>
      </w:r>
    </w:p>
    <w:p>
      <w:pPr>
        <w:keepNext/>
        <w:spacing w:after="160" w:before="240"/>
        <w:jc w:val="left"/>
      </w:pPr>
      <w:r>
        <w:rPr>
          <w:rFonts w:ascii="Cambria" w:cs="Cambria" w:eastAsia="Cambria" w:hAnsi="Cambria"/>
          <w:b/>
          <w:bCs/>
          <w:sz w:val="24"/>
          <w:szCs w:val="24"/>
        </w:rPr>
        <w:t xml:space="preserve">5. Los datos se remiten a encargados tecnológicos y no se transfieren a terceros</w:t>
      </w:r>
    </w:p>
    <w:p>
      <w:pPr>
        <w:spacing w:after="160" w:line="300"/>
        <w:jc w:val="both"/>
      </w:pPr>
      <w:r>
        <w:rPr>
          <w:rFonts w:ascii="Cambria" w:cs="Cambria" w:eastAsia="Cambria" w:hAnsi="Cambria"/>
          <w:sz w:val="24"/>
          <w:szCs w:val="24"/>
        </w:rPr>
        <w:t xml:space="preserve">Para prestar el servicio, la Responsable remite datos a encargados que los tratan por su cuenta: el proveedor de inteligencia artificial (Anthropic, PBC, en los Estados Unidos de América), el proveedor de hospedaje de la Plataforma, la pasarela de pago (Stripe), el servicio de medición de publicidad (Google) y el despacho contable que emite los comprobantes fiscales. La remisión a encargados no es transferencia.</w:t>
      </w:r>
    </w:p>
    <w:p>
      <w:pPr>
        <w:spacing w:after="160" w:line="300"/>
        <w:jc w:val="both"/>
      </w:pPr>
      <w:r>
        <w:rPr>
          <w:rFonts w:ascii="Cambria" w:cs="Cambria" w:eastAsia="Cambria" w:hAnsi="Cambria"/>
          <w:sz w:val="24"/>
          <w:szCs w:val="24"/>
        </w:rPr>
        <w:t xml:space="preserve">La Responsable no transfiere datos a terceros, salvo en los supuestos del artículo 36 de la Ley que no requieren consentimiento, como el mandato fundado y motivado de autoridad competente o la defensa de un derecho en un proceso judicial, y salvo al licenciatario que designó a la persona usuaria, que puede conocer su estado de acceso y el consumo de su licencia.</w:t>
      </w:r>
    </w:p>
    <w:p>
      <w:pPr>
        <w:keepNext/>
        <w:spacing w:after="160" w:before="240"/>
        <w:jc w:val="left"/>
      </w:pPr>
      <w:r>
        <w:rPr>
          <w:rFonts w:ascii="Cambria" w:cs="Cambria" w:eastAsia="Cambria" w:hAnsi="Cambria"/>
          <w:b/>
          <w:bCs/>
          <w:sz w:val="24"/>
          <w:szCs w:val="24"/>
        </w:rPr>
        <w:t xml:space="preserve">6. Los datos se conservan separados, cifrados y con acceso restringido</w:t>
      </w:r>
    </w:p>
    <w:p>
      <w:pPr>
        <w:spacing w:after="160" w:line="300"/>
        <w:jc w:val="both"/>
      </w:pPr>
      <w:r>
        <w:rPr>
          <w:rFonts w:ascii="Cambria" w:cs="Cambria" w:eastAsia="Cambria" w:hAnsi="Cambria"/>
          <w:sz w:val="24"/>
          <w:szCs w:val="24"/>
        </w:rPr>
        <w:t xml:space="preserve">Los documentos conservados se guardan cifrados y separados de los datos de registro, y solo el personal autorizado de la Responsable puede descifrarlos. Las claves de licencia se guardan cifradas y la comunicación con la Plataforma viaja cifrada. Los datos de registro se conservan mientras exista el acceso y, después, durante el plazo de prescripción de las acciones derivadas de la licencia, previo bloqueo (artículo 24 de la Ley).</w:t>
      </w:r>
    </w:p>
    <w:p>
      <w:pPr>
        <w:keepNext/>
        <w:spacing w:after="160" w:before="240"/>
        <w:jc w:val="left"/>
      </w:pPr>
      <w:r>
        <w:rPr>
          <w:rFonts w:ascii="Cambria" w:cs="Cambria" w:eastAsia="Cambria" w:hAnsi="Cambria"/>
          <w:b/>
          <w:bCs/>
          <w:sz w:val="24"/>
          <w:szCs w:val="24"/>
        </w:rPr>
        <w:t xml:space="preserve">7. Los derechos de acceso, rectificación, cancelación y oposición se ejercen por correo electrónico</w:t>
      </w:r>
    </w:p>
    <w:p>
      <w:pPr>
        <w:spacing w:after="160" w:line="300"/>
        <w:jc w:val="both"/>
      </w:pPr>
      <w:r>
        <w:rPr>
          <w:rFonts w:ascii="Cambria" w:cs="Cambria" w:eastAsia="Cambria" w:hAnsi="Cambria"/>
          <w:sz w:val="24"/>
          <w:szCs w:val="24"/>
        </w:rPr>
        <w:t xml:space="preserve">La persona titular puede solicitar el acceso a sus datos, su rectificación, su cancelación o la oposición a su tratamiento, con una solicitud a mmorales@moralesvega.com que contenga su nombre y un medio para recibir la respuesta, la identificación oficial de la persona titular o de su representante y el poder de este, la descripción clara de los datos y del derecho que ejerce, y cualquier documento que facilite localizarlos (artículo 28 de la Ley).</w:t>
      </w:r>
    </w:p>
    <w:p>
      <w:pPr>
        <w:spacing w:after="160" w:line="300"/>
        <w:jc w:val="both"/>
      </w:pPr>
      <w:r>
        <w:rPr>
          <w:rFonts w:ascii="Cambria" w:cs="Cambria" w:eastAsia="Cambria" w:hAnsi="Cambria"/>
          <w:sz w:val="24"/>
          <w:szCs w:val="24"/>
        </w:rPr>
        <w:t xml:space="preserve">La respuesta se comunica en un plazo máximo de 20 (veinte) días hábiles y, si resulta procedente, se hace efectiva dentro de los 15 (quince) días hábiles siguientes. Ambos plazos pueden ampliarse por una sola vez por un periodo igual cuando el caso lo justifique (artículo 31 de la Ley).</w:t>
      </w:r>
    </w:p>
    <w:p>
      <w:pPr>
        <w:spacing w:after="160" w:line="300"/>
        <w:jc w:val="both"/>
      </w:pPr>
      <w:r>
        <w:rPr>
          <w:rFonts w:ascii="Cambria" w:cs="Cambria" w:eastAsia="Cambria" w:hAnsi="Cambria"/>
          <w:sz w:val="24"/>
          <w:szCs w:val="24"/>
        </w:rPr>
        <w:t xml:space="preserve">Los clientes de los licenciatarios ejercen sus derechos ante el licenciatario, que es su responsable; la Responsable atenderá las instrucciones que este le dé.</w:t>
      </w:r>
    </w:p>
    <w:p>
      <w:pPr>
        <w:keepNext/>
        <w:spacing w:after="160" w:before="240"/>
        <w:jc w:val="left"/>
      </w:pPr>
      <w:r>
        <w:rPr>
          <w:rFonts w:ascii="Cambria" w:cs="Cambria" w:eastAsia="Cambria" w:hAnsi="Cambria"/>
          <w:b/>
          <w:bCs/>
          <w:sz w:val="24"/>
          <w:szCs w:val="24"/>
        </w:rPr>
        <w:t xml:space="preserve">8. El consentimiento puede revocarse en cualquier momento</w:t>
      </w:r>
    </w:p>
    <w:p>
      <w:pPr>
        <w:spacing w:after="160" w:line="300"/>
        <w:jc w:val="both"/>
      </w:pPr>
      <w:r>
        <w:rPr>
          <w:rFonts w:ascii="Cambria" w:cs="Cambria" w:eastAsia="Cambria" w:hAnsi="Cambria"/>
          <w:sz w:val="24"/>
          <w:szCs w:val="24"/>
        </w:rPr>
        <w:t xml:space="preserve">La persona usuaria puede revocar su consentimiento o negarse a recibir avisos escribiendo a mmorales@moralesvega.com, sin expresar causa. La revocación surte efectos hacia el futuro. No es posible retirar del acervo un escrito ya disociado, porque la disociación impide identificarlo.</w:t>
      </w:r>
    </w:p>
    <w:p>
      <w:pPr>
        <w:keepNext/>
        <w:spacing w:after="160" w:before="240"/>
        <w:jc w:val="left"/>
      </w:pPr>
      <w:r>
        <w:rPr>
          <w:rFonts w:ascii="Cambria" w:cs="Cambria" w:eastAsia="Cambria" w:hAnsi="Cambria"/>
          <w:b/>
          <w:bCs/>
          <w:sz w:val="24"/>
          <w:szCs w:val="24"/>
        </w:rPr>
        <w:t xml:space="preserve">9. La autoridad competente es la Secretaría Anticorrupción y Buen Gobierno</w:t>
      </w:r>
    </w:p>
    <w:p>
      <w:pPr>
        <w:spacing w:after="160" w:line="300"/>
        <w:jc w:val="both"/>
      </w:pPr>
      <w:r>
        <w:rPr>
          <w:rFonts w:ascii="Cambria" w:cs="Cambria" w:eastAsia="Cambria" w:hAnsi="Cambria"/>
          <w:sz w:val="24"/>
          <w:szCs w:val="24"/>
        </w:rPr>
        <w:t xml:space="preserve">Si la persona titular considera que su solicitud no fue atendida conforme a la Ley, puede acudir ante la Secretaría Anticorrupción y Buen Gobierno.</w:t>
      </w:r>
    </w:p>
    <w:p>
      <w:pPr>
        <w:keepNext/>
        <w:spacing w:after="160" w:before="240"/>
        <w:jc w:val="left"/>
      </w:pPr>
      <w:r>
        <w:rPr>
          <w:rFonts w:ascii="Cambria" w:cs="Cambria" w:eastAsia="Cambria" w:hAnsi="Cambria"/>
          <w:b/>
          <w:bCs/>
          <w:sz w:val="24"/>
          <w:szCs w:val="24"/>
        </w:rPr>
        <w:t xml:space="preserve">10. El sitio usa cookies para medir su publicidad y la Plataforma no rastrea a sus usuarios</w:t>
      </w:r>
    </w:p>
    <w:p>
      <w:pPr>
        <w:spacing w:after="160" w:line="300"/>
        <w:jc w:val="both"/>
      </w:pPr>
      <w:r>
        <w:rPr>
          <w:rFonts w:ascii="Cambria" w:cs="Cambria" w:eastAsia="Cambria" w:hAnsi="Cambria"/>
          <w:sz w:val="24"/>
          <w:szCs w:val="24"/>
        </w:rPr>
        <w:t xml:space="preserve">El sitio público (legalvi.app) usa la etiqueta de Google Ads, que coloca cookies para medir cuántas visitas llegan por un anuncio y si terminan en una solicitud o en una contratación. Obtiene datos de navegación, como páginas vistas, el anuncio de origen, el tipo de dispositivo y una aproximación de la ubicación, pero no el nombre, el correo ni los documentos. Google trata esos datos conforme a sus propias políticas. Puedes impedirlo bloqueando las cookies en tu navegador o desde la configuración de anuncios de tu cuenta de Google.</w:t>
      </w:r>
    </w:p>
    <w:p>
      <w:pPr>
        <w:spacing w:after="160" w:line="300"/>
        <w:jc w:val="both"/>
      </w:pPr>
      <w:r>
        <w:rPr>
          <w:rFonts w:ascii="Cambria" w:cs="Cambria" w:eastAsia="Cambria" w:hAnsi="Cambria"/>
          <w:sz w:val="24"/>
          <w:szCs w:val="24"/>
        </w:rPr>
        <w:t xml:space="preserve">Dentro de la Plataforma no se usan cookies de rastreo: solo se guarda en el almacenamiento de sesión del navegador un testigo de sesión aleatorio, que vence a las doce horas y se borra al cerrar la pestaña o al elegir «Salir».</w:t>
      </w:r>
    </w:p>
    <w:p>
      <w:pPr>
        <w:keepNext/>
        <w:spacing w:after="160" w:before="240"/>
        <w:jc w:val="left"/>
      </w:pPr>
      <w:r>
        <w:rPr>
          <w:rFonts w:ascii="Cambria" w:cs="Cambria" w:eastAsia="Cambria" w:hAnsi="Cambria"/>
          <w:b/>
          <w:bCs/>
          <w:sz w:val="24"/>
          <w:szCs w:val="24"/>
        </w:rPr>
        <w:t xml:space="preserve">11. Los cambios al aviso se comunican en la Plataforma y por correo</w:t>
      </w:r>
    </w:p>
    <w:p>
      <w:pPr>
        <w:spacing w:after="160" w:line="300"/>
        <w:jc w:val="both"/>
      </w:pPr>
      <w:r>
        <w:rPr>
          <w:rFonts w:ascii="Cambria" w:cs="Cambria" w:eastAsia="Cambria" w:hAnsi="Cambria"/>
          <w:sz w:val="24"/>
          <w:szCs w:val="24"/>
        </w:rPr>
        <w:t xml:space="preserve">Toda modificación se publicará en https://legalvi.app/privacidad.html. La Plataforma pedirá aceptar la nueva versión la siguiente vez que la persona usuaria entre, y la Responsable la enviará por correo electrónico dentro de los 5 (cinco) días hábiles siguientes a la modificación.</w:t>
      </w:r>
    </w:p>
    <w:sectPr>
      <w:headerReference w:type="default" r:id="rId6"/>
      <w:footerReference w:type="default" r:id="rId7"/>
      <w:pgSz w:w="12240" w:h="15840" w:orient="portrait"/>
      <w:pgMar w:top="1440" w:right="1440" w:bottom="1300" w:left="1440" w:header="6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mbria" w:cs="Cambria" w:eastAsia="Cambria" w:hAnsi="Cambria"/>
        <w:color w:val="5A5A5A"/>
        <w:sz w:val="18"/>
        <w:szCs w:val="18"/>
      </w:rPr>
      <w:fldChar w:fldCharType="begin"/>
      <w:instrText xml:space="preserve">PAGE</w:instrText>
      <w:fldChar w:fldCharType="separate"/>
      <w:fldChar w:fldCharType="end"/>
    </w:r>
  </w:p>
  <w:p>
    <w:pPr>
      <w:jc w:val="center"/>
    </w:pPr>
    <w:r>
      <w:rPr>
        <w:rFonts w:ascii="Cambria" w:cs="Cambria" w:eastAsia="Cambria" w:hAnsi="Cambria"/>
        <w:color w:val="5A5A5A"/>
        <w:sz w:val="14"/>
        <w:szCs w:val="14"/>
      </w:rPr>
      <w:t xml:space="preserve">© 2026 LegalVI. Todos los derechos reservados.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6E6E6E" w:sz="6" w:space="4"/>
      </w:pBdr>
      <w:spacing w:after="240"/>
    </w:pPr>
    <w:r>
      <w:drawing>
        <wp:inline distT="0" distB="0" distL="0" distR="0">
          <wp:extent cx="1428750" cy="371475"/>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3714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36a81de946298ddabc01c9b3e3c7672a6bdd3c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Aviso de privacidad · LegalVI</dc:title>
  <dc:creator>LegalVI</dc:creator>
  <cp:lastModifiedBy>Un-named</cp:lastModifiedBy>
  <cp:revision>1</cp:revision>
  <dcterms:created xsi:type="dcterms:W3CDTF">2026-11-01T19:36:42.497Z</dcterms:created>
  <dcterms:modified xsi:type="dcterms:W3CDTF">2026-11-01T19:36:42.497Z</dcterms:modified>
</cp:coreProperties>
</file>

<file path=docProps/custom.xml><?xml version="1.0" encoding="utf-8"?>
<Properties xmlns="http://schemas.openxmlformats.org/officeDocument/2006/custom-properties" xmlns:vt="http://schemas.openxmlformats.org/officeDocument/2006/docPropsVTypes"/>
</file>